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F80" w:rsidRDefault="00A30F80" w:rsidP="00A30F80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 </w:t>
      </w:r>
      <w:r>
        <w:rPr>
          <w:sz w:val="28"/>
          <w:szCs w:val="28"/>
        </w:rPr>
        <w:t>ЛЕКЦИЯ 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ЛЕГКОСБРАСЫВАЕМЫЕ КОНСТРУКЦИИ»  </w:t>
      </w:r>
    </w:p>
    <w:p w:rsidR="00A30F80" w:rsidRDefault="00A30F80" w:rsidP="00A30F80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A30F80" w:rsidRDefault="00A30F80" w:rsidP="00A30F80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8</w:t>
      </w:r>
      <w:r w:rsidRPr="007F28A7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.1 Защитное действие </w:t>
      </w:r>
      <w:proofErr w:type="spellStart"/>
      <w:r w:rsidRPr="007F28A7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легкосбрасываемых</w:t>
      </w:r>
      <w:proofErr w:type="spellEnd"/>
      <w:r w:rsidRPr="007F28A7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конструкций (ЛСК)</w:t>
      </w:r>
    </w:p>
    <w:p w:rsidR="00A30F80" w:rsidRPr="007F28A7" w:rsidRDefault="00A30F80" w:rsidP="00A30F80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8.1.1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Защитные строительные мероприя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тия для зданий взрывоопасных произ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во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дств вкл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ючают комплекс вопросов, связанных с возможностью уменьше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 степени разрушения зданий при взрыве. Взрыв может произойти внутри здания при стечении аварийных обсто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ятельств, при которых в помеще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нии образуется взрывоопасная среда, и при наличии случайного источника воспламенения, например электрической искры. Так, при полном обрушении здания последствия аварий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ного взрыва усугубляются уничтоже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нием оборудования и гибелью людей под обломками конструкций здания. При частичном разрушении здания, когда, например, сохраняются несущие конструкции - колонны, покрытие - оборудование может быть легко восста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новлено (или даже не повреждено) Для обслуживающего персонала и в этом случае опасность остается высокой из-за возможных тяжелых ожогов (но все-таки меньшая, чем при полном об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рушении здания). Поэтому основным на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правлением обеспечения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взрывоза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щиты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является разработка систем пре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дупреждения взрывов и нормативная регламентация соответствующих техно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логических процессов с учетом надеж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ности различных аппаратов, контроль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ных и ограничительных приборов и т. д.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В соответствии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с требованиями ГОСТ 12.1.010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«Взрывобезопасность» производственные процессы должны разрабатываться так, чтобы вероят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ность возникновения взрыва на любом взрывоопасном участке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течение года не превышала 10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6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. Однако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несмотря на все предупредительные технологиче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ские и организационно-технические ме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роприятия, аварийные взрывы все же происходят. Уменьшение последствий взрыва за счет надлежащего проектиро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вания зданий и сооружений,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направлен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ных на снижение степени их разруше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ния, часто оказывается достаточ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 эф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фективным. СНиП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«Произ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водственные здания» устанавливает конструктивные и объемно-планировоч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ные требования к зданиям для взрыво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опасных производств. Строительные противовзрывные мероприятия осно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вываются на надлежащем учете и рас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чете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разнопрочности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зда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 с целью обеспечения разрушения конструкций, за счет которых взрыв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ное воздействие на другие уменьши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лось бы и не превышало их несущей способности и, следовательно, они не были разрушены. Такие конструкции называют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легкосбрасываемыми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или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легкоразрушаемыми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(ЛСК).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8.1.2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proofErr w:type="spellStart"/>
      <w:r w:rsidRPr="00C00737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легкосбрасываемым</w:t>
      </w:r>
      <w:proofErr w:type="spellEnd"/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или предохра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нительным конструкциям относятся окна, если оконные переплеты запол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нены обычным оконным стеклом, двери, расп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ашные ворота, конструкции из ас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бестоцементных, алюминиевых и сталь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ных листов с легким утеплителем, спе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циальные плиты покрытия и т. д.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Защитное действие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ограждающих конструкций со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стоит в том, что они разрушаются в начальной стадии взрыва, когда дав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ление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газов - продуктов взрыва - не достигло еще большого значения и яв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ляется неопасным для основных (не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сущих) конструкций. Через проемы, кот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орые образовались в результате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разрушения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рукций, избыточные объемы газов - несгоревшей смеси и продуктов взры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 - вытесняются из помещения зда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 наружу. За счет выброса неко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торой части избыточных объемов газа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давление и, следовательно, нагрузка на основе конструкции уменьшаются по сравнению с той нагрузкой, которая имела бы место при взрыве такой же смеси в замкнутом объеме. Если в зда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нии будет устроено достаточное коли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чество проемов, огражденных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сбрасываемыми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конструкциями, и если должным образом подобрать их массу и прочность, то давление и соответ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ственно нагрузка на основные конструк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ции могут быть уменьшены до требуе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мых значений, устанавливаемых из условия прочности или несущей способ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ности основных конструкций.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A30F80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8.2 Нормативные требования по устройству </w:t>
      </w:r>
      <w:proofErr w:type="spellStart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легкосбрасываемых</w:t>
      </w:r>
      <w:proofErr w:type="spellEnd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конструкций</w:t>
      </w:r>
    </w:p>
    <w:p w:rsidR="00A30F80" w:rsidRPr="002B50F1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8.2.1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Строительные н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ормы и правила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устанавливают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с учетом категории взрывоопасного про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изводства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требования в отношении пла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нировки, этажности, площади, раз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мещения помещения, путей эвакуации и конструктивных решений. В частности, в нормах указывается, что в зданиях категорий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А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Б следует предусматри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вать устройство наружных ограждаю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щих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конструкций. 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8.2.2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качестве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ций следует, как правило, использовать остекление окон и фонарей. При недо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статочной площади остекления допус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кается в качестве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использовать конструкции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покрытий из стальных, алюминиевых и асбестоцементных листов и эффектив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ного утеплителя. Площадь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следует опреде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лять расчетом. 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8.2.3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ри отсутствии рас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четных данных площадь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должна составлять не менее </w:t>
      </w:r>
      <w:smartTag w:uri="urn:schemas-microsoft-com:office:smarttags" w:element="metricconverter">
        <w:smartTagPr>
          <w:attr w:name="ProductID" w:val="0,05 м2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0,05 м</w:t>
        </w:r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2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3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 м</w:t>
        </w:r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3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объема помещения категории А и не менее 0,03 м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г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категории Б. При этом конст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рукции остекления относятся к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сбрасываемым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, если толщина стекла составляет 3; 4 и </w:t>
      </w:r>
      <w:smartTag w:uri="urn:schemas-microsoft-com:office:smarttags" w:element="metricconverter">
        <w:smartTagPr>
          <w:attr w:name="ProductID" w:val="5 мм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5 мм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, а его площадь не менее (соответственно) 0,8; 1 и </w:t>
      </w:r>
      <w:smartTag w:uri="urn:schemas-microsoft-com:office:smarttags" w:element="metricconverter">
        <w:smartTagPr>
          <w:attr w:name="ProductID" w:val="1,5 м2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1,5</w:t>
        </w:r>
        <w:r>
          <w:rPr>
            <w:rFonts w:ascii="Times New Roman CYR" w:hAnsi="Times New Roman CYR" w:cs="Times New Roman CYR"/>
            <w:color w:val="000000"/>
            <w:sz w:val="28"/>
            <w:szCs w:val="28"/>
          </w:rPr>
          <w:t xml:space="preserve"> </w:t>
        </w: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м</w:t>
        </w:r>
        <w:proofErr w:type="gramStart"/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. Конструкции остекления с армирован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ным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стеклом к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легкосбрасываемым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относятся.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Рулонный ковер на участках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покрытия следует разрезать на карты площадью не более </w:t>
      </w:r>
      <w:smartTag w:uri="urn:schemas-microsoft-com:office:smarttags" w:element="metricconverter">
        <w:smartTagPr>
          <w:attr w:name="ProductID" w:val="180 м2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180 м</w:t>
        </w:r>
        <w:proofErr w:type="gramStart"/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каждая.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Расчетное давление от массы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покрытия должна составлять не более 0,7 кПа (70 кгс/м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2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).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8.2.4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Помещения категорий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А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Б следует размещать (с учетом технологических требований) у наружных стен, а в мно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гоэтажных зданиях - на верхних эта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жах.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Размещение помещений категорий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А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Б в подвальных и цокольных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этажах не допускается.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30F80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8.3 </w:t>
      </w:r>
      <w:r w:rsidRPr="002B50F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Определение     требуемой     площади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легкосбрасываемой</w:t>
      </w:r>
      <w:proofErr w:type="spellEnd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</w:p>
    <w:p w:rsidR="00A30F80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конструкции</w:t>
      </w:r>
    </w:p>
    <w:p w:rsidR="00A30F80" w:rsidRPr="002B50F1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ЛСК.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На практике часто возникает вопрос - какая должна быть площадь отверстия при заданных характеристи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ках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газовоздушной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смеси и объеме помещения, чтобы при взрыве давление на стенки объема не превышало допус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каемого расчетного избыточного давле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ния 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sz w:val="28"/>
          <w:szCs w:val="28"/>
        </w:rPr>
        <w:t>Δ</w:t>
      </w:r>
      <w:r w:rsidRPr="002B50F1">
        <w:rPr>
          <w:color w:val="000000"/>
          <w:sz w:val="28"/>
          <w:szCs w:val="28"/>
        </w:rPr>
        <w:t xml:space="preserve"> </w:t>
      </w:r>
      <w:proofErr w:type="gramStart"/>
      <w:r w:rsidRPr="002B50F1">
        <w:rPr>
          <w:color w:val="000000"/>
          <w:sz w:val="28"/>
          <w:szCs w:val="28"/>
          <w:lang w:val="en-US"/>
        </w:rPr>
        <w:t>P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доп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</w:t>
      </w:r>
      <w:r w:rsidRPr="002B50F1">
        <w:rPr>
          <w:color w:val="000000"/>
          <w:sz w:val="28"/>
          <w:szCs w:val="28"/>
        </w:rPr>
        <w:t xml:space="preserve">      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Приближенно требуемую площадь отверстия с учетом допускаемого избы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точного давления </w:t>
      </w:r>
      <w:r w:rsidRPr="002B50F1">
        <w:rPr>
          <w:rFonts w:ascii="Times New Roman CYR" w:hAnsi="Times New Roman CYR" w:cs="Times New Roman CYR"/>
          <w:sz w:val="28"/>
          <w:szCs w:val="28"/>
        </w:rPr>
        <w:t>Δ</w:t>
      </w:r>
      <w:r w:rsidRPr="002B50F1">
        <w:rPr>
          <w:color w:val="000000"/>
          <w:sz w:val="28"/>
          <w:szCs w:val="28"/>
        </w:rPr>
        <w:t xml:space="preserve"> </w:t>
      </w:r>
      <w:r w:rsidRPr="00D14C33">
        <w:rPr>
          <w:color w:val="000000"/>
          <w:sz w:val="28"/>
          <w:szCs w:val="28"/>
          <w:lang w:val="en-US"/>
        </w:rPr>
        <w:t>P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д</w:t>
      </w:r>
      <w:r w:rsidRPr="00D14C33">
        <w:rPr>
          <w:rFonts w:ascii="Times New Roman CYR" w:hAnsi="Times New Roman CYR" w:cs="Times New Roman CYR"/>
          <w:color w:val="000000"/>
          <w:sz w:val="28"/>
          <w:szCs w:val="28"/>
        </w:rPr>
        <w:t>оп</w:t>
      </w:r>
      <w:proofErr w:type="spellEnd"/>
      <w:r w:rsidRPr="002B50F1">
        <w:rPr>
          <w:rFonts w:ascii="Wingdings" w:hAnsi="Wingdings" w:cs="Wingdings"/>
          <w:color w:val="000000"/>
          <w:sz w:val="28"/>
          <w:szCs w:val="28"/>
          <w:vertAlign w:val="subscript"/>
        </w:rPr>
        <w:t>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при нормальной скорости пламени</w:t>
      </w:r>
      <w:proofErr w:type="gramStart"/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rFonts w:ascii="Sylfaen" w:hAnsi="Sylfaen" w:cs="Sylfaen"/>
          <w:color w:val="000000"/>
          <w:sz w:val="28"/>
          <w:szCs w:val="28"/>
        </w:rPr>
        <w:t>И</w:t>
      </w:r>
      <w:proofErr w:type="gramEnd"/>
      <w:r w:rsidRPr="002B50F1">
        <w:rPr>
          <w:rFonts w:ascii="Sylfaen" w:hAnsi="Sylfaen" w:cs="Sylfaen"/>
          <w:color w:val="000000"/>
          <w:sz w:val="28"/>
          <w:szCs w:val="28"/>
        </w:rPr>
        <w:t xml:space="preserve">н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степени расшире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ния продуктов горения 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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объеме помещения можно </w:t>
      </w:r>
      <w:r w:rsidRPr="002B50F1">
        <w:rPr>
          <w:color w:val="000000"/>
          <w:sz w:val="28"/>
          <w:szCs w:val="28"/>
          <w:lang w:val="en-US"/>
        </w:rPr>
        <w:t>V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определить сле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дующим образом.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Из условия не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разрушения основных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конструкций здания допускаемое из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быточное давление  на стенки при взрыве должно быть ограничено 5... 8 кПа и, следовательно, скорость исте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чения газов через отверстие (или про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ем) с достаточным приближением мож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 выразить через перепад давления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A30F80" w:rsidRDefault="00A30F80" w:rsidP="00A30F80">
      <w:pPr>
        <w:shd w:val="clear" w:color="auto" w:fill="FFFFFF"/>
        <w:ind w:firstLine="708"/>
        <w:jc w:val="both"/>
        <w:rPr>
          <w:rFonts w:cs="Symbol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         </w:t>
      </w:r>
      <w:r w:rsidRPr="002B50F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r>
        <w:rPr>
          <w:rFonts w:cs="Symbol"/>
          <w:color w:val="000000"/>
          <w:sz w:val="28"/>
          <w:szCs w:val="28"/>
        </w:rPr>
        <w:tab/>
      </w:r>
      <w:r>
        <w:rPr>
          <w:rFonts w:cs="Symbol"/>
          <w:color w:val="000000"/>
          <w:sz w:val="28"/>
          <w:szCs w:val="28"/>
        </w:rPr>
        <w:tab/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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</w:t>
      </w:r>
      <w:r w:rsidRPr="002B50F1">
        <w:rPr>
          <w:rFonts w:ascii="Symbol" w:hAnsi="Symbol" w:cs="Symbol"/>
          <w:color w:val="000000"/>
          <w:position w:val="-12"/>
          <w:sz w:val="28"/>
          <w:szCs w:val="28"/>
          <w:lang w:val="en-US"/>
        </w:rPr>
        <w:object w:dxaOrig="9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20.25pt" o:ole="">
            <v:imagedata r:id="rId5" o:title=""/>
          </v:shape>
          <o:OLEObject Type="Embed" ProgID="Equation.3" ShapeID="_x0000_i1025" DrawAspect="Content" ObjectID="_1568200504" r:id="rId6"/>
        </w:object>
      </w:r>
      <w:r>
        <w:rPr>
          <w:rFonts w:cs="Symbol"/>
          <w:color w:val="000000"/>
          <w:sz w:val="28"/>
          <w:szCs w:val="28"/>
        </w:rPr>
        <w:t>,</w:t>
      </w:r>
    </w:p>
    <w:p w:rsidR="00A30F80" w:rsidRPr="00131573" w:rsidRDefault="00A30F80" w:rsidP="00A30F80">
      <w:pPr>
        <w:shd w:val="clear" w:color="auto" w:fill="FFFFFF"/>
        <w:ind w:firstLine="708"/>
        <w:jc w:val="both"/>
        <w:rPr>
          <w:rFonts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где 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плотность продуктов истечения. С другой стороны, скорость исте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чения может быть выражена через скорость образования продуктов горе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ния, пропорциональной нормальной скорости горения и площади пламени и обратно пропорциональной площади отверстия (проема):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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</w:t>
      </w:r>
      <w:r w:rsidRPr="002B50F1">
        <w:rPr>
          <w:color w:val="000000"/>
          <w:sz w:val="28"/>
          <w:szCs w:val="28"/>
        </w:rPr>
        <w:t>[</w:t>
      </w:r>
      <w:r w:rsidRPr="002B50F1">
        <w:rPr>
          <w:rFonts w:ascii="Sylfaen" w:hAnsi="Sylfaen" w:cs="Sylfaen"/>
          <w:color w:val="000000"/>
          <w:sz w:val="28"/>
          <w:szCs w:val="28"/>
        </w:rPr>
        <w:t>Ин(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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</w:t>
      </w:r>
      <w:r w:rsidRPr="002B50F1">
        <w:rPr>
          <w:color w:val="000000"/>
          <w:sz w:val="28"/>
          <w:szCs w:val="28"/>
        </w:rPr>
        <w:t>1)</w:t>
      </w:r>
      <w:r w:rsidRPr="002B50F1">
        <w:rPr>
          <w:color w:val="000000"/>
          <w:sz w:val="28"/>
          <w:szCs w:val="28"/>
          <w:lang w:val="en-US"/>
        </w:rPr>
        <w:t>S</w:t>
      </w:r>
      <w:r w:rsidRPr="002B50F1">
        <w:rPr>
          <w:color w:val="000000"/>
          <w:sz w:val="28"/>
          <w:szCs w:val="28"/>
        </w:rPr>
        <w:t>] /(</w:t>
      </w:r>
      <w:r w:rsidRPr="002B50F1">
        <w:rPr>
          <w:rFonts w:ascii="Symbol" w:hAnsi="Symbol" w:cs="Symbol"/>
          <w:color w:val="000000"/>
          <w:sz w:val="28"/>
          <w:szCs w:val="28"/>
        </w:rPr>
        <w:t></w:t>
      </w:r>
      <w:r w:rsidRPr="002B50F1">
        <w:rPr>
          <w:color w:val="000000"/>
          <w:sz w:val="28"/>
          <w:szCs w:val="28"/>
        </w:rPr>
        <w:t>F)</w:t>
      </w:r>
    </w:p>
    <w:p w:rsidR="00A30F80" w:rsidRPr="002B50F1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где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bscript"/>
        </w:rPr>
        <w:t>н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нормальная скорость распро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странения пламени; </w:t>
      </w:r>
      <w:r w:rsidRPr="002B50F1">
        <w:rPr>
          <w:rFonts w:ascii="Symbol" w:hAnsi="Symbol" w:cs="Symbol"/>
          <w:color w:val="000000"/>
          <w:sz w:val="28"/>
          <w:szCs w:val="28"/>
          <w:lang w:val="en-US"/>
        </w:rPr>
        <w:t>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степень расши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рения продуктов горения;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  <w:lang w:val="en-US"/>
        </w:rPr>
        <w:t>S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площадь поверхности пламени; </w:t>
      </w:r>
      <w:r w:rsidRPr="002B50F1">
        <w:rPr>
          <w:rFonts w:ascii="Symbol" w:hAnsi="Symbol" w:cs="Symbol"/>
          <w:color w:val="000000"/>
          <w:sz w:val="28"/>
          <w:szCs w:val="28"/>
        </w:rPr>
        <w:t>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- коэффици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ент истечения; 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  <w:lang w:val="en-US"/>
        </w:rPr>
        <w:t>F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- площадь отверстия (проема).</w:t>
      </w:r>
    </w:p>
    <w:p w:rsidR="00A30F80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Исходя из условия, что максималь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ной скорости образования продуктов горения соответствует максимальная скорость нарастания давления, макси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мальную площадь поверхности пламени можно выразить через объем помеще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ния и для требуемой площади отверстия (проема) получить в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ражение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: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30F80" w:rsidRDefault="00A30F80" w:rsidP="00A30F80">
      <w:pPr>
        <w:shd w:val="clear" w:color="auto" w:fill="FFFFFF"/>
        <w:ind w:left="2832" w:firstLine="708"/>
        <w:jc w:val="both"/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  <w:lang w:val="en-US"/>
        </w:rPr>
        <w:t>F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>=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  <w:lang w:val="en-US"/>
        </w:rPr>
        <w:t>a</w:t>
      </w:r>
      <w:r w:rsidRPr="002B50F1">
        <w:rPr>
          <w:rFonts w:ascii="Times New Roman CYR" w:hAnsi="Times New Roman CYR" w:cs="Times New Roman CYR"/>
          <w:i/>
          <w:iCs/>
          <w:color w:val="000000"/>
          <w:position w:val="-30"/>
          <w:sz w:val="28"/>
          <w:szCs w:val="28"/>
          <w:lang w:val="en-US"/>
        </w:rPr>
        <w:object w:dxaOrig="680" w:dyaOrig="740">
          <v:shape id="_x0000_i1026" type="#_x0000_t75" style="width:33.75pt;height:36.75pt" o:ole="">
            <v:imagedata r:id="rId7" o:title=""/>
          </v:shape>
          <o:OLEObject Type="Embed" ProgID="Equation.3" ShapeID="_x0000_i1026" DrawAspect="Content" ObjectID="_1568200505" r:id="rId8"/>
        </w:objec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proofErr w:type="gramStart"/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  <w:lang w:val="en-US"/>
        </w:rPr>
        <w:t>ε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>(</w:t>
      </w:r>
      <w:proofErr w:type="gramEnd"/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  <w:lang w:val="en-US"/>
        </w:rPr>
        <w:t>ε</w:t>
      </w:r>
      <w:r w:rsidRPr="002B50F1"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>-1)</w:t>
      </w:r>
      <w:r w:rsidRPr="002B50F1">
        <w:rPr>
          <w:rFonts w:ascii="Times New Roman CYR" w:hAnsi="Times New Roman CYR" w:cs="Times New Roman CYR"/>
          <w:i/>
          <w:iCs/>
          <w:color w:val="000000"/>
          <w:position w:val="-8"/>
          <w:sz w:val="28"/>
          <w:szCs w:val="28"/>
        </w:rPr>
        <w:object w:dxaOrig="420" w:dyaOrig="360">
          <v:shape id="_x0000_i1027" type="#_x0000_t75" style="width:21pt;height:18pt" o:ole="">
            <v:imagedata r:id="rId9" o:title=""/>
          </v:shape>
          <o:OLEObject Type="Embed" ProgID="Equation.3" ShapeID="_x0000_i1027" DrawAspect="Content" ObjectID="_1568200506" r:id="rId10"/>
        </w:object>
      </w:r>
    </w:p>
    <w:p w:rsidR="00A30F80" w:rsidRPr="002B50F1" w:rsidRDefault="00A30F80" w:rsidP="00A30F80">
      <w:pPr>
        <w:shd w:val="clear" w:color="auto" w:fill="FFFFFF"/>
        <w:ind w:left="2832" w:firstLine="708"/>
        <w:jc w:val="both"/>
        <w:rPr>
          <w:rFonts w:ascii="Times New Roman CYR" w:hAnsi="Mangal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где а - коэффициент, учитывающий степень заполнения помещения обору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дованием и трубопроводами, вызываю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щими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турбулизацию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пламени и интен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сивность взрывного горения.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Разделив левую и правую части по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следнего выражения для определения требуемой площади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на объем помещения, по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лучим так называемый коэффициент сброса в м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2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3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 м</w:t>
        </w:r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3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помещения, принятый в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СНиП «Производственные здания»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в качест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ве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конструктивного критерия требуемо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го объема противовзрывных строитель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ных мероприятий:</w:t>
      </w:r>
    </w:p>
    <w:p w:rsidR="00A30F80" w:rsidRPr="002B50F1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A30F80" w:rsidRDefault="00A30F80" w:rsidP="00A30F80">
      <w:pPr>
        <w:shd w:val="clear" w:color="auto" w:fill="FFFFFF"/>
        <w:ind w:left="2832"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b/>
          <w:bCs/>
          <w:color w:val="000000"/>
          <w:position w:val="-10"/>
          <w:sz w:val="28"/>
          <w:szCs w:val="28"/>
        </w:rPr>
        <w:object w:dxaOrig="780" w:dyaOrig="320">
          <v:shape id="_x0000_i1028" type="#_x0000_t75" style="width:39pt;height:15.75pt" o:ole="">
            <v:imagedata r:id="rId11" o:title=""/>
          </v:shape>
          <o:OLEObject Type="Embed" ProgID="Equation.3" ShapeID="_x0000_i1028" DrawAspect="Content" ObjectID="_1568200507" r:id="rId12"/>
        </w:objec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α</w:t>
      </w:r>
      <w:r w:rsidRPr="002B50F1">
        <w:rPr>
          <w:rFonts w:ascii="Times New Roman CYR" w:hAnsi="Times New Roman CYR" w:cs="Times New Roman CYR"/>
          <w:color w:val="000000"/>
          <w:position w:val="-30"/>
          <w:sz w:val="28"/>
          <w:szCs w:val="28"/>
        </w:rPr>
        <w:object w:dxaOrig="1520" w:dyaOrig="740">
          <v:shape id="_x0000_i1029" type="#_x0000_t75" style="width:75.75pt;height:36.75pt" o:ole="">
            <v:imagedata r:id="rId13" o:title=""/>
          </v:shape>
          <o:OLEObject Type="Embed" ProgID="Equation.3" ShapeID="_x0000_i1029" DrawAspect="Content" ObjectID="_1568200508" r:id="rId14"/>
        </w:object>
      </w:r>
    </w:p>
    <w:p w:rsidR="00A30F80" w:rsidRPr="002B50F1" w:rsidRDefault="00A30F80" w:rsidP="00A30F80">
      <w:pPr>
        <w:shd w:val="clear" w:color="auto" w:fill="FFFFFF"/>
        <w:ind w:left="2832"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A30F80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8.4 Анализ конструктивных решений </w:t>
      </w:r>
      <w:proofErr w:type="spellStart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легкосбрасываемых</w:t>
      </w:r>
      <w:proofErr w:type="spellEnd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</w:p>
    <w:p w:rsidR="00A30F80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конструкций</w:t>
      </w:r>
    </w:p>
    <w:p w:rsidR="00A30F80" w:rsidRPr="002B50F1" w:rsidRDefault="00A30F80" w:rsidP="00A30F80">
      <w:pPr>
        <w:shd w:val="clear" w:color="auto" w:fill="FFFFFF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8.4.1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Основное требование, предъявляе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мое к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легкосбрасываемым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циям, состоит в том, чтобы они обеспе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чивали ограничение давления при взры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ве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газопаропылевоздушных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смесей в помещении в таких пределах, которые являются безопасными для основных конструкций здания.</w:t>
      </w:r>
    </w:p>
    <w:p w:rsidR="00A30F80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По месту расположения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сываемые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могут быть подразделены на устраиваемые в стено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вом ограждении или покрытии.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Стено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вые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при прочих равных условиях более эффективны, чем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покрытия. В некоторых случаях эта более высокая относитель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ная эффективность может достигать</w:t>
      </w:r>
      <w:r w:rsidRPr="002B50F1">
        <w:rPr>
          <w:sz w:val="28"/>
          <w:szCs w:val="28"/>
        </w:rPr>
        <w:t xml:space="preserve"> 30%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8.4.2 Стеновые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</w:t>
      </w:r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t>мые</w:t>
      </w:r>
      <w:proofErr w:type="spellEnd"/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</w:t>
      </w:r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струкции</w:t>
      </w:r>
      <w:r w:rsidRPr="002B50F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.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В качестве стеновых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применяют остекление, двери, распашные ворота и другие поворотные устройства, сте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новые панели из легких 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асбестоцемент-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ных</w:t>
      </w:r>
      <w:proofErr w:type="spellEnd"/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плит и др.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Обычное оконное остекление являет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ся наиболее эффективным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ваемым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устройством, так как стекло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обладает хрупким разрушением и малой инерционностью.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Для обеспечения эффективности ос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текления как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легкосбрасываемой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ог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раждающей конструкции необходимо, чтобы размеры оконного стекла были достаточно большими, так как при малой площади пластины стекла разру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шающее давление </w:t>
      </w:r>
      <w:r w:rsidRPr="002B50F1">
        <w:rPr>
          <w:color w:val="000000"/>
          <w:sz w:val="28"/>
          <w:szCs w:val="28"/>
        </w:rPr>
        <w:t xml:space="preserve"> </w:t>
      </w:r>
      <w:proofErr w:type="spellStart"/>
      <w:r w:rsidRPr="002B50F1">
        <w:rPr>
          <w:color w:val="000000"/>
          <w:sz w:val="28"/>
          <w:szCs w:val="28"/>
          <w:lang w:val="en-US"/>
        </w:rPr>
        <w:t>Pp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значительно воз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растает. Например, экспериментально установлено, что пластина стекла раз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мером 365X408X3,2 мм может выдер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жать давление, превышающее 20 кПа. Поэтому для взрывоопасных зданий рекомендуется только одинарное остек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ление с размерами пластин стекла порядка </w:t>
      </w:r>
      <w:smartTag w:uri="urn:schemas-microsoft-com:office:smarttags" w:element="metricconverter">
        <w:smartTagPr>
          <w:attr w:name="ProductID" w:val="0,6 м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0,6 м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более. Оконные переплеты должны открываться наружу и иметь шарнирное закрепление с одной стороны.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Двери, ворота и другие поворотные устройства являются также достаточ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но эффективными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легкосбрасываемыми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конструкциями при условии, что в слу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чае взрыва обеспечивается легкий пово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рот их вокруг шарниров или подвеса и открывание их происходит наружу. Для этого необходимо, чтобы устройст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ва, удерживающие их в закрытом поло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жении, срабатывали при фиксирован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ном значении давления Δ </w:t>
      </w:r>
      <w:r w:rsidRPr="002B50F1">
        <w:rPr>
          <w:color w:val="000000"/>
          <w:sz w:val="28"/>
          <w:szCs w:val="28"/>
          <w:lang w:val="en-US"/>
        </w:rPr>
        <w:t>P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при этом должно выполняться условие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bscript"/>
        </w:rPr>
        <w:t>р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&lt;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ин &lt;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до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п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-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Экспериментальная проверка показывает, что открываю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щиеся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могут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быть даже более эффективными, чем остекление при надлежащем испол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нении запорных устройств.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Разрушение запорных устройств (защелок) дверей происходит в интер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вале давлений от 1150 до 1800 Па в зависимости от размеров отдельного полотна. В то же время для разрушения запорного устройства ворот (запорная штанга) требуются меньшие давления, хотя его прочность по сравнению с защелкой дверей является более высо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кой. Это объясняется большей пло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щадью полотна ворот, т. е. большей площадью сбора нагрузки. Запорные устройства ворот разрушаются при давлении 330...940 Па.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Запорные устройства фрамуг и пере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плетов в оконных панелях не препятствуют открыванию фрамуг и переплетов при давлениях, не превышающих 500 Па.</w:t>
      </w:r>
    </w:p>
    <w:p w:rsidR="00A30F80" w:rsidRPr="002B50F1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Стеновые навесные панели из легких асбестоцементных или алюминиевых листов с легким утеплителем могут быть использованы в качестве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конструкций, если крепление их к опорным элементам выполнено так, что отрыв панелей происходит при фик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сированном значении давления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обеспечивается условие Δ</w:t>
      </w:r>
      <w:r w:rsidRPr="002B50F1">
        <w:rPr>
          <w:color w:val="000000"/>
          <w:sz w:val="28"/>
          <w:szCs w:val="28"/>
        </w:rPr>
        <w:t xml:space="preserve"> </w:t>
      </w:r>
      <w:proofErr w:type="gramStart"/>
      <w:r w:rsidRPr="002B50F1">
        <w:rPr>
          <w:color w:val="000000"/>
          <w:sz w:val="28"/>
          <w:szCs w:val="28"/>
          <w:lang w:val="en-US"/>
        </w:rPr>
        <w:t>P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bscript"/>
        </w:rPr>
        <w:t>р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&lt;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ин &lt; Δ</w:t>
      </w:r>
      <w:r w:rsidRPr="002B50F1">
        <w:rPr>
          <w:color w:val="000000"/>
          <w:sz w:val="28"/>
          <w:szCs w:val="28"/>
        </w:rPr>
        <w:t xml:space="preserve"> </w:t>
      </w:r>
      <w:r w:rsidRPr="002B50F1">
        <w:rPr>
          <w:color w:val="000000"/>
          <w:sz w:val="28"/>
          <w:szCs w:val="28"/>
          <w:lang w:val="en-US"/>
        </w:rPr>
        <w:t>P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доп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-</w:t>
      </w:r>
    </w:p>
    <w:p w:rsidR="00A30F80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До настоящего времени обычные и облегченные стеновые панели в качест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ве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практически не применялись из-за от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сутствия надлежащих узлов крепления панелей к опорным элементам.</w:t>
      </w:r>
    </w:p>
    <w:p w:rsidR="00A30F80" w:rsidRDefault="00A30F80" w:rsidP="00A30F80">
      <w:pPr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8</w:t>
      </w:r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t>.4.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3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  <w:proofErr w:type="spellStart"/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Легкосбрасываемые</w:t>
      </w:r>
      <w:proofErr w:type="spellEnd"/>
      <w:r w:rsidRPr="00B944EF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покрытий</w:t>
      </w:r>
      <w:r w:rsidRPr="002B50F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Для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взрывоопасных произ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водств такие конструкции выполняют сборными поверхностной плотности не более 70 кг/м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2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Наи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большее распространение получили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покрытия, представ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ляющие собой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сбрасыаемые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легкие плиты размером 1,0X1,5 м и свободно опирающиеся на железобетонные плиты с отверстиями. По легким плитам ук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ладывают легкий утеплитель и затем по выравнивающей цементно-песчаной стяжке - водоизоляционн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ый ковер из трех слоев толи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(при плоской кровле) или одного слоя рубероида по двум слоям пергамина (при скатной кровле)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. Для обеспечения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сбрасывае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softHyphen/>
        <w:t>мости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водоизоляционный ковер разре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зают на карты площадью до </w:t>
      </w:r>
      <w:smartTag w:uri="urn:schemas-microsoft-com:office:smarttags" w:element="metricconverter">
        <w:smartTagPr>
          <w:attr w:name="ProductID" w:val="180 м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180 м</w:t>
        </w:r>
      </w:smartTag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с устройством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швов. На рис. 23.3 показано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мое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покрытие, представляющее собой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трехслойные плиты без утеплителя, укладываемые по ме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таллическим прогонам. Поверхностная плотность такого покрытия составляет ~69 кг/м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  <w:vertAlign w:val="superscript"/>
        </w:rPr>
        <w:t>2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:rsidR="00A30F80" w:rsidRPr="002B50F1" w:rsidRDefault="00A30F80" w:rsidP="00A30F80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Во многих случаях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мые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конструкции покрытия оказываются недостаточно эффективными. При имевших место аварийных взрывах на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блюдалось разрушение основных кон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струкций здания, в то время как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сбрасываемое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покрытие не сбрасыва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лось. Это объясняется тем, что разрезка водоизоляционного ковра на карты пло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щадью </w:t>
      </w:r>
      <w:smartTag w:uri="urn:schemas-microsoft-com:office:smarttags" w:element="metricconverter">
        <w:smartTagPr>
          <w:attr w:name="ProductID" w:val="180 м2"/>
        </w:smartTagPr>
        <w:r w:rsidRPr="002B50F1">
          <w:rPr>
            <w:rFonts w:ascii="Times New Roman CYR" w:hAnsi="Times New Roman CYR" w:cs="Times New Roman CYR"/>
            <w:color w:val="000000"/>
            <w:sz w:val="28"/>
            <w:szCs w:val="28"/>
          </w:rPr>
          <w:t>180 м</w:t>
        </w:r>
        <w:proofErr w:type="gramStart"/>
        <w:r w:rsidRPr="002B50F1">
          <w:rPr>
            <w:rFonts w:ascii="Times New Roman CYR" w:hAnsi="Times New Roman CYR" w:cs="Times New Roman CYR"/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более не обеспечивает планируемой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легкосбрасываемости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крытия. На такой площади трудно обеспечить одновременность и быстроту сбрасывания, а разрыв рубероидного ковра происходит при 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значительно больших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давлениях. Например, разрыв трехслойного рубероидного ковра про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 xml:space="preserve">исходит при 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 xml:space="preserve">давлении 50 кПа. Поэтому необходимо стремиться к тому, чтобы требуемая нормами площадь </w:t>
      </w:r>
      <w:proofErr w:type="spell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легкосбра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сываемых</w:t>
      </w:r>
      <w:proofErr w:type="spell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конструкций обеспечивалась в первую очередь за счет остекления и </w:t>
      </w:r>
      <w:proofErr w:type="gramStart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proofErr w:type="gramEnd"/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t xml:space="preserve"> аналогичных по эффектив</w:t>
      </w:r>
      <w:r w:rsidRPr="002B50F1">
        <w:rPr>
          <w:rFonts w:ascii="Times New Roman CYR" w:hAnsi="Times New Roman CYR" w:cs="Times New Roman CYR"/>
          <w:color w:val="000000"/>
          <w:sz w:val="28"/>
          <w:szCs w:val="28"/>
        </w:rPr>
        <w:softHyphen/>
        <w:t>ности устройств.</w:t>
      </w:r>
    </w:p>
    <w:p w:rsidR="00A30F80" w:rsidRPr="00262DEB" w:rsidRDefault="00A30F80" w:rsidP="00A30F80">
      <w:pPr>
        <w:ind w:firstLine="284"/>
        <w:jc w:val="both"/>
        <w:rPr>
          <w:sz w:val="28"/>
          <w:szCs w:val="28"/>
        </w:rPr>
      </w:pPr>
    </w:p>
    <w:p w:rsidR="00A30F80" w:rsidRDefault="00A30F80" w:rsidP="00A30F80">
      <w:pPr>
        <w:jc w:val="both"/>
        <w:rPr>
          <w:sz w:val="28"/>
          <w:szCs w:val="28"/>
        </w:rPr>
      </w:pPr>
      <w:r w:rsidRPr="00262DEB">
        <w:rPr>
          <w:position w:val="-10"/>
          <w:sz w:val="28"/>
          <w:szCs w:val="28"/>
        </w:rPr>
        <w:object w:dxaOrig="180" w:dyaOrig="340">
          <v:shape id="_x0000_i1030" type="#_x0000_t75" style="width:62.25pt;height:17.25pt" o:ole="">
            <v:imagedata r:id="rId15" o:title=""/>
          </v:shape>
          <o:OLEObject Type="Embed" ProgID="Equation.3" ShapeID="_x0000_i1030" DrawAspect="Content" ObjectID="_1568200509" r:id="rId16"/>
        </w:object>
      </w: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9C7"/>
    <w:rsid w:val="00081E58"/>
    <w:rsid w:val="003129C7"/>
    <w:rsid w:val="00A3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F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F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1926</Words>
  <Characters>10980</Characters>
  <Application>Microsoft Office Word</Application>
  <DocSecurity>0</DocSecurity>
  <Lines>91</Lines>
  <Paragraphs>25</Paragraphs>
  <ScaleCrop>false</ScaleCrop>
  <Company>SPecialiST RePack</Company>
  <LinksUpToDate>false</LinksUpToDate>
  <CharactersWithSpaces>12881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2017-09-29T08:28:00Z</dcterms:created>
  <dcterms:modified xsi:type="dcterms:W3CDTF">2017-09-29T08:29:00Z</dcterms:modified>
</cp:coreProperties>
</file>